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>Prevelance Of Unintentional Injuries And Associated Risk Factors 5yrs and Below, National Survey In KSA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>Introduction:</w:t>
      </w: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>Injuries are leading cause of death In Children ages 5 and younger around the world, and it is an international public health Concerns. Most Injuries happen in The Home, And it can be prevented.</w:t>
      </w: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 xml:space="preserve">Aims: </w:t>
      </w: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>_ Measuring parents attitude toward home safety.</w:t>
      </w: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 xml:space="preserve">_ Measuring the causes of injuries among children. </w:t>
      </w: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>_ Raising the awareness about child injuries among parents.</w:t>
      </w: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>Lit:</w:t>
      </w: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>Methodology: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>Cross sectional study(Questinaire)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 xml:space="preserve">Data Collection: 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>will be validated by 3 related experts .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>Data Analysis: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>SPSS</w:t>
      </w:r>
    </w:p>
    <w:p>
      <w:pPr>
        <w:pStyle w:val="Body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left"/>
      </w:pPr>
      <w:r>
        <w:rPr>
          <w:rFonts w:ascii="Times New Roman" w:cs="Times New Roman" w:hAnsi="Times New Roman" w:eastAsia="Times New Roman"/>
          <w:sz w:val="32"/>
          <w:szCs w:val="32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